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Lexend" w:cs="Lexend" w:eastAsia="Lexend" w:hAnsi="Lexend"/>
          <w:b w:val="1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b w:val="1"/>
          <w:sz w:val="36"/>
          <w:szCs w:val="36"/>
          <w:rtl w:val="0"/>
        </w:rPr>
        <w:t xml:space="preserve">Demographic transition model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47626</wp:posOffset>
            </wp:positionH>
            <wp:positionV relativeFrom="paragraph">
              <wp:posOffset>319088</wp:posOffset>
            </wp:positionV>
            <wp:extent cx="5731200" cy="50800"/>
            <wp:effectExtent b="0" l="0" r="0" t="0"/>
            <wp:wrapNone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0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left="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5.0" w:type="dxa"/>
        <w:jc w:val="left"/>
        <w:tblInd w:w="-18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155"/>
        <w:gridCol w:w="7530"/>
        <w:gridCol w:w="840"/>
        <w:tblGridChange w:id="0">
          <w:tblGrid>
            <w:gridCol w:w="1155"/>
            <w:gridCol w:w="7530"/>
            <w:gridCol w:w="840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1. What is the demographic transition model? </w:t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A model of geographical changes over time.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7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A model predicting economic growth.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A model representing population changes over time through different stages.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8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2. Which stage has low birth and death rates with potential population decline?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Stage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3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Stage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4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Stage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6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3. How does the model explain population changes?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By analysing economic data.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8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By predicting technological advancements.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Through stages characterised by birth and death rates.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ind w:left="144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144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Lexend" w:cs="Lexend" w:eastAsia="Lexend" w:hAnsi="Lexend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25.0" w:type="dxa"/>
        <w:jc w:val="left"/>
        <w:tblInd w:w="-18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155"/>
        <w:gridCol w:w="7530"/>
        <w:gridCol w:w="840"/>
        <w:tblGridChange w:id="0">
          <w:tblGrid>
            <w:gridCol w:w="1155"/>
            <w:gridCol w:w="7530"/>
            <w:gridCol w:w="840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4. What is a limitation of the demographic transition model?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It does not account for cultural variations.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7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It is too specific to Western countries.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9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It predicts future population sizes.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5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5. Which stage is marked by high birth rates and declining death rates?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Stage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Stage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9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Stage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6. What keyword describes the process by which a country improves the well-being of its people?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A.   Birth rate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4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B.   Economic development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13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rFonts w:ascii="Lexend" w:cs="Lexend" w:eastAsia="Lexend" w:hAnsi="Lexend"/>
                <w:sz w:val="24"/>
                <w:szCs w:val="24"/>
              </w:rPr>
            </w:pPr>
            <w:r w:rsidDel="00000000" w:rsidR="00000000" w:rsidRPr="00000000">
              <w:rPr>
                <w:rFonts w:ascii="Lexend" w:cs="Lexend" w:eastAsia="Lexend" w:hAnsi="Lexend"/>
                <w:sz w:val="24"/>
                <w:szCs w:val="24"/>
                <w:rtl w:val="0"/>
              </w:rPr>
              <w:t xml:space="preserve">C.   Population decline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Lexend" w:cs="Lexend" w:eastAsia="Lexend" w:hAnsi="Lexend"/>
              </w:rPr>
            </w:pPr>
            <w:r w:rsidDel="00000000" w:rsidR="00000000" w:rsidRPr="00000000">
              <w:rPr>
                <w:rFonts w:ascii="Lexend" w:cs="Lexend" w:eastAsia="Lexend" w:hAnsi="Lexend"/>
              </w:rPr>
              <w:drawing>
                <wp:inline distB="114300" distT="114300" distL="114300" distR="114300">
                  <wp:extent cx="282149" cy="275431"/>
                  <wp:effectExtent b="0" l="0" r="0" t="0"/>
                  <wp:docPr id="2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49" cy="2754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ind w:left="1440" w:firstLine="0"/>
        <w:rPr>
          <w:rFonts w:ascii="Lexend" w:cs="Lexend" w:eastAsia="Lexend" w:hAnsi="Lexe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4" w:w="11909" w:orient="portrait"/>
      <w:pgMar w:bottom="1440" w:top="1440" w:left="1440" w:right="973.937007874016" w:header="680.3149606299213" w:footer="680.3149606299213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exend SemiBold">
    <w:embedRegular w:fontKey="{00000000-0000-0000-0000-000000000000}" r:id="rId1" w:subsetted="0"/>
    <w:embedBold w:fontKey="{00000000-0000-0000-0000-000000000000}" r:id="rId2" w:subsetted="0"/>
  </w:font>
  <w:font w:name="Lexend Light">
    <w:embedRegular w:fontKey="{00000000-0000-0000-0000-000000000000}" r:id="rId3" w:subsetted="0"/>
    <w:embedBold w:fontKey="{00000000-0000-0000-0000-000000000000}" r:id="rId4" w:subsetted="0"/>
  </w:font>
  <w:font w:name="Lexen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widowControl w:val="0"/>
      <w:spacing w:before="240" w:lineRule="auto"/>
      <w:ind w:right="1557.9921259842524"/>
      <w:rPr>
        <w:rFonts w:ascii="Lexend" w:cs="Lexend" w:eastAsia="Lexend" w:hAnsi="Lexend"/>
        <w:b w:val="1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. Created with</w:t>
    </w:r>
    <w:hyperlink r:id="rId5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5448300</wp:posOffset>
          </wp:positionH>
          <wp:positionV relativeFrom="paragraph">
            <wp:posOffset>114300</wp:posOffset>
          </wp:positionV>
          <wp:extent cx="334064" cy="450850"/>
          <wp:effectExtent b="0" l="0" r="0" t="0"/>
          <wp:wrapNone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2">
    <w:pPr>
      <w:widowControl w:val="0"/>
      <w:ind w:right="282.4015748031502"/>
      <w:jc w:val="right"/>
      <w:rPr>
        <w:rFonts w:ascii="Lexend Light" w:cs="Lexend Light" w:eastAsia="Lexend Light" w:hAnsi="Lexend Light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widowControl w:val="0"/>
      <w:spacing w:after="0" w:before="240" w:lineRule="auto"/>
      <w:ind w:right="1557.9921259842524"/>
      <w:rPr>
        <w:rFonts w:ascii="Lexend" w:cs="Lexend" w:eastAsia="Lexend" w:hAnsi="Lexend"/>
        <w:b w:val="1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© Oak National Academy 2025. Licensed on the</w:t>
    </w:r>
    <w:hyperlink r:id="rId1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Open Government Licence v3.0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except where otherwise stated. See</w:t>
    </w:r>
    <w:hyperlink r:id="rId3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4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Oak’s T&amp;C's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. Created with</w:t>
    </w:r>
    <w:hyperlink r:id="rId5">
      <w:r w:rsidDel="00000000" w:rsidR="00000000" w:rsidRPr="00000000">
        <w:rPr>
          <w:rFonts w:ascii="Lexend Light" w:cs="Lexend Light" w:eastAsia="Lexend Light" w:hAnsi="Lexend Light"/>
          <w:color w:val="575756"/>
          <w:sz w:val="18"/>
          <w:szCs w:val="18"/>
          <w:rtl w:val="0"/>
        </w:rPr>
        <w:t xml:space="preserve"> </w:t>
      </w:r>
    </w:hyperlink>
    <w:hyperlink r:id="rId6">
      <w:r w:rsidDel="00000000" w:rsidR="00000000" w:rsidRPr="00000000">
        <w:rPr>
          <w:rFonts w:ascii="Lexend Light" w:cs="Lexend Light" w:eastAsia="Lexend Light" w:hAnsi="Lexend Light"/>
          <w:color w:val="1155cc"/>
          <w:sz w:val="18"/>
          <w:szCs w:val="18"/>
          <w:u w:val="single"/>
          <w:rtl w:val="0"/>
        </w:rPr>
        <w:t xml:space="preserve">Aila</w:t>
      </w:r>
    </w:hyperlink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  <w:rtl w:val="0"/>
      </w:rPr>
      <w:t xml:space="preserve">, Oak’s AI lesson assistant. Check content carefully before use.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5457825</wp:posOffset>
          </wp:positionH>
          <wp:positionV relativeFrom="paragraph">
            <wp:posOffset>152400</wp:posOffset>
          </wp:positionV>
          <wp:extent cx="334064" cy="450850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64" cy="4508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4">
    <w:pPr>
      <w:widowControl w:val="0"/>
      <w:ind w:right="282.4015748031502"/>
      <w:jc w:val="right"/>
      <w:rPr>
        <w:rFonts w:ascii="Lexend Light" w:cs="Lexend Light" w:eastAsia="Lexend Light" w:hAnsi="Lexend Light"/>
        <w:color w:val="575756"/>
        <w:sz w:val="18"/>
        <w:szCs w:val="18"/>
      </w:rPr>
    </w:pPr>
    <w:r w:rsidDel="00000000" w:rsidR="00000000" w:rsidRPr="00000000">
      <w:rPr>
        <w:rFonts w:ascii="Lexend Light" w:cs="Lexend Light" w:eastAsia="Lexend Light" w:hAnsi="Lexend Light"/>
        <w:color w:val="5757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ind w:left="0" w:right="-466.062992125984" w:firstLine="0"/>
      <w:jc w:val="both"/>
      <w:rPr>
        <w:rFonts w:ascii="Lexend SemiBold" w:cs="Lexend SemiBold" w:eastAsia="Lexend SemiBold" w:hAnsi="Lexend SemiBold"/>
        <w:sz w:val="16"/>
        <w:szCs w:val="16"/>
      </w:rPr>
    </w:pPr>
    <w:r w:rsidDel="00000000" w:rsidR="00000000" w:rsidRPr="00000000">
      <w:rPr>
        <w:rFonts w:ascii="Lexend SemiBold" w:cs="Lexend SemiBold" w:eastAsia="Lexend SemiBold" w:hAnsi="Lexend SemiBold"/>
        <w:sz w:val="18"/>
        <w:szCs w:val="18"/>
        <w:rtl w:val="0"/>
      </w:rPr>
      <w:t xml:space="preserve">Demographic transition model</w:t>
    </w:r>
    <w:r w:rsidDel="00000000" w:rsidR="00000000" w:rsidRPr="00000000">
      <w:rPr>
        <w:rFonts w:ascii="Lexend SemiBold" w:cs="Lexend SemiBold" w:eastAsia="Lexend SemiBold" w:hAnsi="Lexend SemiBold"/>
        <w:sz w:val="18"/>
        <w:szCs w:val="18"/>
        <w:rtl w:val="0"/>
      </w:rPr>
      <w:t xml:space="preserve">:  </w:t>
      <w:tab/>
      <w:tab/>
      <w:tab/>
      <w:tab/>
      <w:tab/>
      <w:tab/>
      <w:tab/>
      <w:tab/>
      <w:t xml:space="preserve"> Exit quiz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ind w:right="-142.7952755905511"/>
      <w:rPr>
        <w:rFonts w:ascii="Lexend" w:cs="Lexend" w:eastAsia="Lexend" w:hAnsi="Lexend"/>
        <w:b w:val="1"/>
        <w:sz w:val="24"/>
        <w:szCs w:val="24"/>
      </w:rPr>
    </w:pPr>
    <w:r w:rsidDel="00000000" w:rsidR="00000000" w:rsidRPr="00000000">
      <w:rPr>
        <w:rFonts w:ascii="Lexend" w:cs="Lexend" w:eastAsia="Lexend" w:hAnsi="Lexend"/>
        <w:b w:val="1"/>
        <w:sz w:val="24"/>
        <w:szCs w:val="24"/>
      </w:rPr>
      <w:drawing>
        <wp:anchor allowOverlap="1" behindDoc="1" distB="114300" distT="114300" distL="114300" distR="114300" hidden="0" layoutInCell="1" locked="0" relativeHeight="0" simplePos="0">
          <wp:simplePos x="0" y="0"/>
          <wp:positionH relativeFrom="page">
            <wp:posOffset>4686300</wp:posOffset>
          </wp:positionH>
          <wp:positionV relativeFrom="page">
            <wp:posOffset>416713</wp:posOffset>
          </wp:positionV>
          <wp:extent cx="633594" cy="633594"/>
          <wp:effectExtent b="0" l="0" r="0" t="0"/>
          <wp:wrapNone/>
          <wp:docPr id="20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33594" cy="63359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ind w:right="-142.7952755905511"/>
      <w:rPr/>
    </w:pPr>
    <w:r w:rsidDel="00000000" w:rsidR="00000000" w:rsidRPr="00000000">
      <w:rPr>
        <w:rFonts w:ascii="Lexend" w:cs="Lexend" w:eastAsia="Lexend" w:hAnsi="Lexend"/>
        <w:b w:val="1"/>
        <w:sz w:val="24"/>
        <w:szCs w:val="24"/>
        <w:rtl w:val="0"/>
      </w:rPr>
      <w:t xml:space="preserve">Name:</w:t>
      <w:tab/>
      <w:tab/>
      <w:t xml:space="preserve">             </w:t>
      <w:tab/>
      <w:tab/>
      <w:tab/>
      <w:tab/>
      <w:tab/>
      <w:tab/>
      <w:t xml:space="preserve">Exit quiz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4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SemiBold-regular.ttf"/><Relationship Id="rId2" Type="http://schemas.openxmlformats.org/officeDocument/2006/relationships/font" Target="fonts/LexendSemiBold-bold.ttf"/><Relationship Id="rId3" Type="http://schemas.openxmlformats.org/officeDocument/2006/relationships/font" Target="fonts/LexendLight-regular.ttf"/><Relationship Id="rId4" Type="http://schemas.openxmlformats.org/officeDocument/2006/relationships/font" Target="fonts/LexendLight-bold.ttf"/><Relationship Id="rId5" Type="http://schemas.openxmlformats.org/officeDocument/2006/relationships/font" Target="fonts/Lexend-regular.ttf"/><Relationship Id="rId6" Type="http://schemas.openxmlformats.org/officeDocument/2006/relationships/font" Target="fonts/Lexen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ationalarchives.gov.uk/doc/open-government-licence/version/3/" TargetMode="External"/><Relationship Id="rId2" Type="http://schemas.openxmlformats.org/officeDocument/2006/relationships/hyperlink" Target="https://www.nationalarchives.gov.uk/doc/open-government-licence/version/3/" TargetMode="External"/><Relationship Id="rId3" Type="http://schemas.openxmlformats.org/officeDocument/2006/relationships/hyperlink" Target="https://www.thenational.academy/legal/terms-and-conditions" TargetMode="External"/><Relationship Id="rId4" Type="http://schemas.openxmlformats.org/officeDocument/2006/relationships/hyperlink" Target="https://www.thenational.academy/legal/terms-and-conditions" TargetMode="External"/><Relationship Id="rId5" Type="http://schemas.openxmlformats.org/officeDocument/2006/relationships/hyperlink" Target="https://labs.thenational.academy/aila" TargetMode="External"/><Relationship Id="rId6" Type="http://schemas.openxmlformats.org/officeDocument/2006/relationships/hyperlink" Target="https://labs.thenational.academy/aila" TargetMode="External"/><Relationship Id="rId7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